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rPr>
          <w:rFonts w:ascii="宋体" w:hAnsi="宋体" w:eastAsia="宋体" w:cs="黑体"/>
          <w:b/>
          <w:bCs/>
          <w:color w:val="0"/>
          <w:spacing w:val="-2"/>
          <w:sz w:val="36"/>
          <w:szCs w:val="38"/>
        </w:rPr>
      </w:pPr>
      <w:r>
        <w:rPr>
          <w:rFonts w:hint="eastAsia" w:ascii="宋体" w:hAnsi="宋体" w:eastAsia="宋体" w:cs="黑体"/>
          <w:b/>
          <w:bCs/>
          <w:color w:val="0"/>
          <w:spacing w:val="-2"/>
          <w:sz w:val="36"/>
          <w:szCs w:val="38"/>
        </w:rPr>
        <w:t>附件：</w:t>
      </w:r>
    </w:p>
    <w:p>
      <w:pPr>
        <w:spacing w:line="360" w:lineRule="auto"/>
        <w:jc w:val="center"/>
        <w:rPr>
          <w:rFonts w:ascii="宋体" w:hAnsi="宋体" w:eastAsia="宋体" w:cs="黑体"/>
          <w:b/>
          <w:bCs/>
          <w:color w:val="0"/>
          <w:spacing w:val="-2"/>
          <w:sz w:val="36"/>
          <w:szCs w:val="38"/>
        </w:rPr>
      </w:pPr>
      <w:r>
        <w:rPr>
          <w:rFonts w:hint="eastAsia" w:ascii="宋体" w:hAnsi="宋体" w:eastAsia="宋体" w:cs="黑体"/>
          <w:b/>
          <w:bCs/>
          <w:color w:val="0"/>
          <w:spacing w:val="-2"/>
          <w:sz w:val="36"/>
          <w:szCs w:val="38"/>
        </w:rPr>
        <w:t>曲阜师范大学2015年度共青团工作考核自评表</w:t>
      </w:r>
    </w:p>
    <w:p>
      <w:pPr>
        <w:spacing w:beforeLines="50" w:afterLines="50" w:line="640" w:lineRule="exact"/>
        <w:ind w:firstLine="280" w:firstLineChars="100"/>
        <w:rPr>
          <w:rFonts w:ascii="仿宋_GB2312" w:hAnsi="Times New Roman" w:eastAsia="仿宋_GB2312" w:cs="黑体"/>
          <w:color w:val="0"/>
          <w:sz w:val="28"/>
          <w:szCs w:val="28"/>
          <w:u w:val="single"/>
        </w:rPr>
      </w:pPr>
      <w:r>
        <w:rPr>
          <w:rFonts w:hint="eastAsia" w:ascii="仿宋_GB2312" w:hAnsi="Calibri" w:eastAsia="仿宋_GB2312" w:cs="黑体"/>
          <w:color w:val="0"/>
          <w:sz w:val="28"/>
          <w:szCs w:val="28"/>
        </w:rPr>
        <w:t>单位：</w:t>
      </w:r>
      <w:r>
        <w:rPr>
          <w:rFonts w:hint="eastAsia" w:ascii="仿宋_GB2312" w:hAnsi="Calibri" w:eastAsia="仿宋_GB2312" w:cs="黑体"/>
          <w:color w:val="0"/>
          <w:sz w:val="28"/>
          <w:szCs w:val="28"/>
          <w:u w:val="single"/>
        </w:rPr>
        <w:t xml:space="preserve">                   </w:t>
      </w:r>
      <w:r>
        <w:rPr>
          <w:rFonts w:hint="eastAsia" w:ascii="仿宋_GB2312" w:hAnsi="Calibri" w:eastAsia="仿宋_GB2312" w:cs="黑体"/>
          <w:color w:val="0"/>
          <w:sz w:val="28"/>
          <w:szCs w:val="28"/>
        </w:rPr>
        <w:t xml:space="preserve">           时间：</w:t>
      </w:r>
      <w:r>
        <w:rPr>
          <w:rFonts w:hint="eastAsia" w:ascii="仿宋_GB2312" w:hAnsi="Calibri" w:eastAsia="仿宋_GB2312" w:cs="黑体"/>
          <w:color w:val="0"/>
          <w:sz w:val="28"/>
          <w:szCs w:val="28"/>
          <w:u w:val="single"/>
        </w:rPr>
        <w:t xml:space="preserve">             </w:t>
      </w:r>
    </w:p>
    <w:tbl>
      <w:tblPr>
        <w:tblpPr w:leftFromText="180" w:rightFromText="180" w:vertAnchor="text" w:tblpXSpec="center" w:tblpY="1"/>
        <w:tblOverlap w:val="never"/>
        <w:tblW w:w="9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674"/>
        <w:gridCol w:w="1134"/>
        <w:gridCol w:w="6093"/>
        <w:gridCol w:w="708"/>
        <w:gridCol w:w="1276"/>
      </w:tblGrid>
      <w:tr>
        <w:trPr>
          <w:tblHeader/>
        </w:trPr>
        <w:tc>
          <w:tcPr>
            <w:tcW w:w="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基础工作项目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工作</w:t>
            </w:r>
          </w:p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内容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具体评分项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自评得分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具体举措或支撑材料</w:t>
            </w:r>
          </w:p>
        </w:tc>
      </w:tr>
      <w:tr>
        <w:trPr>
          <w:trHeight w:val="397" w:hRule="atLeast"/>
        </w:trPr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深化思想引领工作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党的十八大精神学习宣传活动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组织报告会、宣讲会、演讲会、读书班等活动，深入学习宣传党的十八大精神（3分）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</w:tr>
      <w:tr>
        <w:trPr>
          <w:trHeight w:val="581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在暑期社会实践活动中积极开展“十八大精神宣讲”行动（2分）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47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开展形式多样的“我的中国梦”主题活动（5分）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838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社会主义核心价值体系学习教育活动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开展“三观”、“三热爱”主题教育活动，弘扬社会主义核心价值观（3分）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862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开展“与信仰对话”主题教育活动，引导青年坚定理想信念，增强责任感和使命感（3分）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397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广泛开展“五讲四美”基础文明教育，促进大学生基础文明素质养成（3分）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4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广泛开展学雷锋活动，宣传到位，载体丰富，引领作用强（3分）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30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共青团“红网工程”建设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学院主页设有共青团工作专栏，内容丰富，更新及时（3分）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1506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继续推进团总支</w:t>
            </w:r>
            <w:r>
              <w:rPr>
                <w:rFonts w:hint="default" w:ascii="仿宋_GB2312" w:eastAsia="仿宋_GB2312" w:cs="黑体"/>
                <w:szCs w:val="21"/>
              </w:rPr>
              <w:t>（团委）</w:t>
            </w:r>
            <w:r>
              <w:rPr>
                <w:rFonts w:hint="eastAsia" w:ascii="仿宋_GB2312" w:hAnsi="Calibri" w:eastAsia="仿宋_GB2312" w:cs="黑体"/>
                <w:szCs w:val="21"/>
              </w:rPr>
              <w:t>微博体系建设，通过对微博听众数、原创微博数、转发微博数三项指标的加权评分（总分=听众数得分×40%+原创微博数得分×40%+转发微博数得分×20%）评估考核各团总支</w:t>
            </w:r>
            <w:r>
              <w:rPr>
                <w:rFonts w:hint="default" w:ascii="仿宋_GB2312" w:eastAsia="仿宋_GB2312" w:cs="黑体"/>
                <w:szCs w:val="21"/>
              </w:rPr>
              <w:t>（团委）</w:t>
            </w:r>
            <w:r>
              <w:rPr>
                <w:rFonts w:hint="eastAsia" w:ascii="仿宋_GB2312" w:hAnsi="Calibri" w:eastAsia="仿宋_GB2312" w:cs="黑体"/>
                <w:szCs w:val="21"/>
              </w:rPr>
              <w:t>的微博运营情况（1-3名得5分，4-10名得3分，11-20名得1分）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833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完善飞信平台，开通院、班微信群，团组织和团员学生联系渠道顺畅高效（3分）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62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充分运用新媒体，一个学期至少开展2次线上主题活动（3分）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36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维护校</w:t>
            </w:r>
          </w:p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园稳定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开展及时有效的时事政策教育（2分）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847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配合</w:t>
            </w:r>
            <w:r>
              <w:rPr>
                <w:rFonts w:hint="default" w:ascii="仿宋_GB2312" w:eastAsia="仿宋_GB2312" w:cs="黑体"/>
                <w:szCs w:val="21"/>
              </w:rPr>
              <w:t>校</w:t>
            </w:r>
            <w:r>
              <w:rPr>
                <w:rFonts w:hint="eastAsia" w:ascii="仿宋_GB2312" w:hAnsi="Calibri" w:eastAsia="仿宋_GB2312" w:cs="黑体"/>
                <w:szCs w:val="21"/>
              </w:rPr>
              <w:t>团委建立健全舆情信息观测点和舆情信息员队伍，收集舆情全面，上报及时（2分）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1124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全年无突发事件发生或者对突发事件有应急预案，处置得当，上报及时（2分）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397" w:hRule="atLeast"/>
        </w:trPr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ind w:left="113" w:right="113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深化成长成才服务工作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校园文</w:t>
            </w:r>
          </w:p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化活动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开展丰富多彩的校园文化活动，提升品位和层次（5分，限报3项）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51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积极开展大学生素质拓展活动（3分，限报2项）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1284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服务青年学生就业创业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开展大学生就业创业教育进校园活动，每年至少举办2次相关活动（如创业论坛、名家论坛、校友论坛、职业生涯规划比赛、模拟招聘会、就业政策宣讲、创业成功典型报告会等）（3分）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673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青年就业创业见习基地建设与“学士后流动站”建设“双挂牌、两促进”，见习基地数量增长、质量提高（基地在上一年基础上每增加一处加3分）。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704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社会实践和志愿服务活动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积极开展社会实践项目立项申报工作（每个校级立项资助团队得2分，每个校级立项自筹团队得1分）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397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积极参与“大学生志愿服务西部计划”和第十六届研究生支教团的选拔招募工作（每被录用1人加1分）。相关活动或实践基地获省级表彰（5分），获团中央表彰（10分）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04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大力开展“调研山东”社会调查活动（每入选一支团队加1分；省内特、一、二、三等、优秀奖作品分别加5分、4分、3分、2分、1分），及时、准确报送活动信息、总结（2分）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397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科技创新活动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pacing w:val="-4"/>
                <w:szCs w:val="21"/>
              </w:rPr>
            </w:pPr>
            <w:r>
              <w:rPr>
                <w:rFonts w:hint="eastAsia" w:ascii="仿宋_GB2312" w:hAnsi="Calibri" w:eastAsia="仿宋_GB2312" w:cs="黑体"/>
                <w:spacing w:val="-4"/>
                <w:szCs w:val="21"/>
              </w:rPr>
              <w:t>积极开展大学生科技学术立项申报工作（每个立项资助团队得2分，每个立项自筹团队得1分）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397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积极组织第十三届“挑战杯”课外学术科技作品竞赛活动（每报送一份作品得0.5分；获“优秀组织单位”表彰得2分；获国家级和省级特、一、二、三等奖作品分别得10分、8分、6分、5分和5分、4分、3分、2分）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21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服务青年学生困难需求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每学期至少举办一次大学生心理健康教育活动（3分）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826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挖掘青年学生中的自强典型，做好“中国大学生自强之星”推荐工作（向学校推报得2分，获提名奖得5分，成功入选得10分）。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838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广泛吸纳社会资源，以提供勤工助学岗位、结对帮扶等方式，帮助家庭经济困难学生顺利完成学业（2分）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67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做好寒暑假、元旦春节期间关心服务经济困难学生工作（2分）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57" w:hRule="atLeast"/>
        </w:trPr>
        <w:tc>
          <w:tcPr>
            <w:tcW w:w="6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pacing w:val="-8"/>
                <w:szCs w:val="21"/>
              </w:rPr>
            </w:pPr>
            <w:r>
              <w:rPr>
                <w:rFonts w:hint="eastAsia" w:ascii="仿宋_GB2312" w:hAnsi="Calibri" w:eastAsia="仿宋_GB2312" w:cs="黑体"/>
                <w:spacing w:val="-8"/>
                <w:szCs w:val="21"/>
              </w:rPr>
              <w:t>组织建设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加强团组织建设，抓好团建创新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做好团支部、团员分类引导工作，增强共青团工作的辐射力与渗透力（2分）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702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探索实践未就业毕业生建团、社团建团，开展网络建团，实现团组织的多重覆盖（2分）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1133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积极参与团省委“基层团建书记项目”申报（向学校推报得2分，成功入选得5分），广泛开展主题团日活动，切实增强基层团组织活力和团员意识（2分）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402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每月至少组织1次团干部集中学习或者调查研究，树立良好学风（2分）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278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继续做好团籍管理、团费收缴、团内统计和团员纳新等日常团务工作，提升基础团务工作水平（2分）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976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学生骨干的培养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完善青年马克思主义者工程本级联动培养体系，课程科学，师资优良（2分）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604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积极选派学生骨干参加学校青年马克思主义者培养工程（2分）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556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建立完善的学生干部选拔、约束、激励和保障机制（2分）。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727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举办新任团干部、学生会干部等多种类别的培训班，每年至少组织一次学生骨干培训（2分）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614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pacing w:val="-4"/>
                <w:szCs w:val="21"/>
              </w:rPr>
            </w:pPr>
            <w:r>
              <w:rPr>
                <w:rFonts w:hint="eastAsia" w:ascii="仿宋_GB2312" w:hAnsi="Calibri" w:eastAsia="仿宋_GB2312" w:cs="黑体"/>
                <w:spacing w:val="-4"/>
                <w:szCs w:val="21"/>
              </w:rPr>
              <w:t>积极为</w:t>
            </w:r>
            <w:r>
              <w:rPr>
                <w:rFonts w:hint="default" w:ascii="仿宋_GB2312" w:eastAsia="仿宋_GB2312" w:cs="黑体"/>
                <w:spacing w:val="-4"/>
                <w:szCs w:val="21"/>
              </w:rPr>
              <w:t>校</w:t>
            </w:r>
            <w:r>
              <w:rPr>
                <w:rFonts w:hint="eastAsia" w:ascii="仿宋_GB2312" w:hAnsi="Calibri" w:eastAsia="仿宋_GB2312" w:cs="黑体"/>
                <w:spacing w:val="-4"/>
                <w:szCs w:val="21"/>
              </w:rPr>
              <w:t>团委输送学生干部（所属学生竞聘为校学生会主席、主席团成员、部长，分别得3分、2分、1分，最高不超过10分）。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84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加强院学生会、社团的管理</w:t>
            </w: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  <w:r>
              <w:rPr>
                <w:rFonts w:hint="eastAsia" w:ascii="仿宋_GB2312" w:hAnsi="Calibri" w:eastAsia="仿宋_GB2312" w:cs="黑体"/>
                <w:spacing w:val="-8"/>
                <w:szCs w:val="21"/>
              </w:rPr>
              <w:t>院学生会制度完备、运行规范，创造性开展工作，学生满意度高（2分）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745" w:hRule="atLeast"/>
        </w:trPr>
        <w:tc>
          <w:tcPr>
            <w:tcW w:w="6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left"/>
              <w:rPr>
                <w:rFonts w:ascii="仿宋_GB2312" w:hAnsi="Calibri" w:eastAsia="仿宋_GB2312" w:cs="黑体"/>
                <w:spacing w:val="-8"/>
                <w:szCs w:val="21"/>
              </w:rPr>
            </w:pPr>
            <w:r>
              <w:rPr>
                <w:rFonts w:hint="eastAsia" w:ascii="仿宋_GB2312" w:hAnsi="Calibri" w:eastAsia="仿宋_GB2312" w:cs="黑体"/>
                <w:spacing w:val="-8"/>
                <w:szCs w:val="21"/>
              </w:rPr>
              <w:t>学生社团工作活跃，运行规范，无违规情况和不良影响（每成功举办1次</w:t>
            </w:r>
            <w:r>
              <w:rPr>
                <w:rFonts w:hint="default" w:ascii="仿宋_GB2312" w:eastAsia="仿宋_GB2312" w:cs="黑体"/>
                <w:spacing w:val="-8"/>
                <w:szCs w:val="21"/>
              </w:rPr>
              <w:t>校</w:t>
            </w:r>
            <w:r>
              <w:rPr>
                <w:rFonts w:hint="eastAsia" w:ascii="仿宋_GB2312" w:hAnsi="Calibri" w:eastAsia="仿宋_GB2312" w:cs="黑体"/>
                <w:spacing w:val="-8"/>
                <w:szCs w:val="21"/>
              </w:rPr>
              <w:t>团委主办的社团活动得1分）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</w:tbl>
    <w:p/>
    <w:tbl>
      <w:tblPr>
        <w:tblpPr w:leftFromText="180" w:rightFromText="180" w:vertAnchor="text" w:tblpXSpec="center" w:tblpY="1"/>
        <w:tblOverlap w:val="never"/>
        <w:tblW w:w="98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1809"/>
        <w:gridCol w:w="6092"/>
        <w:gridCol w:w="708"/>
        <w:gridCol w:w="1276"/>
      </w:tblGrid>
      <w:tr>
        <w:trPr>
          <w:trHeight w:val="745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加分</w:t>
            </w:r>
          </w:p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项目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具体评分项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自评</w:t>
            </w:r>
          </w:p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得分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具体举措或支撑材料</w:t>
            </w:r>
          </w:p>
        </w:tc>
      </w:tr>
      <w:tr>
        <w:trPr>
          <w:trHeight w:val="2080" w:hRule="atLeast"/>
        </w:trPr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表彰奖励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团组织受国家级或省级党委、政府表彰的，分别得30分、20分；受团中央、团省委表彰的，分别得20分、10分；受学校党政以及综合部门表彰的，每项得5分。作为成员单位等一般性的工作表彰不予计分。以团省委、校团委正式文件下发或转发推广的，或者召开现场会并在全省、全校正式推广的典型，分别得10分、5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1400" w:hRule="atLeas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在全国（全省）推选过程中没有分配数量指标的竞争性评比中获奖的青年典型，其中中国青年五四奖章获得者20分，山东青年五四奖章获得者得10分、提名奖5分，全国（全省）其他青年典型分别得10分、5分。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1120" w:hRule="atLeas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在上文未涉及的其他比赛中获国家级和省级特、一、二、三等奖分别得5分、4分、3分、2分和3分、2分、1分、0.5分；在校团委主办的比赛中获一等奖每项得1分；最高不超过40分。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796" w:hRule="atLeas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挂靠社团获得年度明星学生社团的得3分，优秀学生社团得1分。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3676" w:hRule="atLeast"/>
        </w:trPr>
        <w:tc>
          <w:tcPr>
            <w:tcW w:w="18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宣传报道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凡在人民日报（不含地方版）、新华社、中央电视台、中央人民广播电台、中国青年报每发表一篇共青团工作稿件（下同）得10分；凡在其他全国性新闻媒体（含中央主要媒体地方版）、大众日报、山东广播电视台每发表一篇稿件得5分；稿件若在上述全国性、全省性平面媒体头版头条发表分别得15分、10分，若在中央电视台、山东卫视新闻联播播出分别得15分、10分；在人民网、新华网主页每发表一篇稿件得5分；在新浪网、搜狐网、腾讯网、网易、中国青年网、大众网、齐鲁网主页每发表一篇稿件得3分；在“山东学校工作”网站每发表一篇综合信息得2分，其他信息得1分。报刊稿件要提供报刊复印件，电视台播放的要提供播出的视频截图打印件，电台播放的要由播出电台提供播出证明，网络稿件要提供网络链接地址和网页打印件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874" w:hRule="atLeast"/>
        </w:trPr>
        <w:tc>
          <w:tcPr>
            <w:tcW w:w="18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Calibri" w:eastAsia="仿宋_GB2312" w:cs="黑体"/>
                <w:szCs w:val="21"/>
              </w:rPr>
            </w:pP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积极向学校主页和</w:t>
            </w:r>
            <w:r>
              <w:rPr>
                <w:rFonts w:hint="default" w:ascii="仿宋_GB2312" w:eastAsia="仿宋_GB2312" w:cs="黑体"/>
                <w:szCs w:val="21"/>
              </w:rPr>
              <w:t>校</w:t>
            </w:r>
            <w:r>
              <w:rPr>
                <w:rFonts w:hint="eastAsia" w:ascii="仿宋_GB2312" w:hAnsi="Calibri" w:eastAsia="仿宋_GB2312" w:cs="黑体"/>
                <w:szCs w:val="21"/>
              </w:rPr>
              <w:t>团委网站上传共青团工作信息（向学校主页每上传1条得1分，向</w:t>
            </w:r>
            <w:r>
              <w:rPr>
                <w:rFonts w:hint="default" w:ascii="仿宋_GB2312" w:eastAsia="仿宋_GB2312" w:cs="黑体"/>
                <w:szCs w:val="21"/>
              </w:rPr>
              <w:t>校</w:t>
            </w:r>
            <w:r>
              <w:rPr>
                <w:rFonts w:hint="eastAsia" w:ascii="仿宋_GB2312" w:hAnsi="Calibri" w:eastAsia="仿宋_GB2312" w:cs="黑体"/>
                <w:szCs w:val="21"/>
              </w:rPr>
              <w:t>团委网站每上传1条得0.2分）。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1669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理论研究和信息调研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承担团省委调研课题并通过验收的，每项课题得10分。理论文章或调研报告结集刊印的，得8分。在学术期刊发表共青团和青年工作理论文章的，每篇得5分。在《中国共青团》发表经验或理论文章的，每篇得8分；在《山东共青团》发表经验或理论文章的，每篇得5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  <w:tr>
        <w:trPr>
          <w:trHeight w:val="1437" w:hRule="atLeast"/>
        </w:trPr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交办事项</w:t>
            </w:r>
          </w:p>
        </w:tc>
        <w:tc>
          <w:tcPr>
            <w:tcW w:w="6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szCs w:val="21"/>
              </w:rPr>
            </w:pPr>
            <w:r>
              <w:rPr>
                <w:rFonts w:hint="eastAsia" w:ascii="仿宋_GB2312" w:hAnsi="Calibri" w:eastAsia="仿宋_GB2312" w:cs="黑体"/>
                <w:szCs w:val="21"/>
              </w:rPr>
              <w:t>承办上级团委或校团委安排的活动、会议，完成重要接待事项等，每项加5分。在共青团系统全国性会议上作典型发言得20分，全省性会议上作典型发言得10分，全校性会议上作典型发言得5分。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hAnsi="Calibri" w:eastAsia="仿宋_GB2312" w:cs="黑体"/>
                <w:color w:val="ff0000"/>
                <w:szCs w:val="21"/>
              </w:rPr>
            </w:pPr>
          </w:p>
        </w:tc>
      </w:tr>
    </w:tbl>
    <w:p>
      <w:pPr>
        <w:jc w:val="center"/>
      </w:pPr>
    </w:p>
    <w:p>
      <w:pPr>
        <w:spacing w:line="360" w:lineRule="auto"/>
        <w:ind w:firstLine="5100" w:firstLineChars="1700"/>
        <w:rPr>
          <w:rFonts w:ascii="仿宋_GB2312" w:hAnsi="仿宋" w:eastAsia="仿宋_GB2312" w:cs="黑体"/>
          <w:sz w:val="30"/>
          <w:szCs w:val="30"/>
        </w:rPr>
      </w:pPr>
      <w:r>
        <w:rPr>
          <w:rFonts w:hint="eastAsia" w:ascii="仿宋_GB2312" w:hAnsi="仿宋" w:eastAsia="仿宋_GB2312" w:cs="黑体"/>
          <w:sz w:val="30"/>
          <w:szCs w:val="30"/>
        </w:rPr>
        <w:t>自评总得分：</w:t>
      </w:r>
      <w:r>
        <w:rPr>
          <w:rFonts w:hint="eastAsia" w:ascii="仿宋_GB2312" w:hAnsi="仿宋" w:eastAsia="仿宋_GB2312"/>
          <w:sz w:val="30"/>
          <w:szCs w:val="30"/>
          <w:u w:val="single"/>
        </w:rPr>
        <w:t xml:space="preserve">    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altName w:val="微软雅黑"/>
    <w:panose1 w:val="020B0503020204020204"/>
    <w:charset w:val="00"/>
    <w:family w:val="auto"/>
    <w:pitch w:val="default"/>
    <w:sig w:usb0="80000287" w:usb1="280F3C52" w:usb2="00000016" w:usb3="00000000" w:csb0="0004001F" w:csb1="00000000"/>
  </w:font>
  <w:font w:name="Calibri">
    <w:altName w:val="Calibri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仿宋_GB2312">
    <w:altName w:val="仿宋_GB2312"/>
    <w:panose1 w:val="02010609030101010101"/>
    <w:charset w:val="00"/>
    <w:family w:val="auto"/>
    <w:pitch w:val="default"/>
    <w:sig w:usb0="00000001" w:usb1="080E0000" w:usb2="00000010" w:usb3="00000000" w:csb0="00040000" w:csb1="00000000"/>
  </w:font>
  <w:font w:name="仿宋">
    <w:altName w:val="仿宋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ambria">
    <w:altName w:val="Cambria"/>
    <w:panose1 w:val="02040503050406030204"/>
    <w:charset w:val="00"/>
    <w:family w:val="auto"/>
    <w:pitch w:val="default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759CD2" fill="t" stroke="t">
      <v:fill type="gradient" on="t" color2="#A3C5F1" focus="0%" focussize="0f,0f" focusposition="0f,0f">
        <o:fill type="gradientUnscaled" v:ext="backwardCompatible"/>
      </v:fill>
      <v:stroke weight="2pt" color="#446188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/>
    </w:rPr>
  </w:style>
  <w:style w:type="character" w:default="1" w:styleId="4">
    <w:name w:val="Default Paragraph Font"/>
  </w:style>
  <w:style w:type="paragraph" w:styleId="2">
    <w:name w:val="footer"/>
    <w:basedOn w:val="1"/>
    <w:link w:val="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3">
    <w:name w:val="页脚 Char"/>
    <w:basedOn w:val="4"/>
    <w:link w:val="2"/>
    <w:semiHidden/>
    <w:rPr>
      <w:sz w:val="18"/>
      <w:szCs w:val="18"/>
    </w:rPr>
  </w:style>
  <w:style w:type="paragraph" w:styleId="5">
    <w:name w:val="header"/>
    <w:basedOn w:val="1"/>
    <w:link w:val="6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5"/>
    <w:semiHidden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488</Words>
  <Characters>2787</Characters>
  <Lines>23</Lines>
  <Paragraphs>6</Paragraphs>
  <TotalTime>0</TotalTime>
  <ScaleCrop>false</ScaleCrop>
  <LinksUpToDate>false</LinksUpToDate>
  <CharactersWithSpaces>0</CharactersWithSpaces>
  <Application>WPS Office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2013-07-26T02:55:15Z</dcterms:created>
  <dc:creator>mishuchu</dc:creator>
  <cp:lastModifiedBy>姜晓冉的 iPad</cp:lastModifiedBy>
  <dcterms:modified xsi:type="dcterms:W3CDTF">2013-07-26T02:55:15Z</dcterms:modified>
  <dc:title>MSC</dc:title>
  <cp:revision/>
</cp:coreProperties>
</file>